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307808"/>
          <w:spacing w:val="0"/>
          <w:sz w:val="32"/>
          <w:szCs w:val="32"/>
          <w:bdr w:val="none" w:color="auto" w:sz="0" w:space="0"/>
        </w:rPr>
      </w:pPr>
      <w:r>
        <w:rPr>
          <w:rFonts w:hint="eastAsia" w:ascii="微软雅黑" w:hAnsi="微软雅黑" w:eastAsia="微软雅黑" w:cs="微软雅黑"/>
          <w:b/>
          <w:i w:val="0"/>
          <w:caps w:val="0"/>
          <w:color w:val="307808"/>
          <w:spacing w:val="0"/>
          <w:sz w:val="32"/>
          <w:szCs w:val="32"/>
          <w:bdr w:val="none" w:color="auto" w:sz="0" w:space="0"/>
        </w:rPr>
        <w:t>陕西省农业农村厅办公室关于做好2019年“三秋”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07808"/>
          <w:spacing w:val="0"/>
          <w:sz w:val="32"/>
          <w:szCs w:val="32"/>
        </w:rPr>
      </w:pPr>
      <w:r>
        <w:rPr>
          <w:rFonts w:hint="eastAsia" w:ascii="微软雅黑" w:hAnsi="微软雅黑" w:eastAsia="微软雅黑" w:cs="微软雅黑"/>
          <w:b/>
          <w:i w:val="0"/>
          <w:caps w:val="0"/>
          <w:color w:val="307808"/>
          <w:spacing w:val="0"/>
          <w:sz w:val="32"/>
          <w:szCs w:val="32"/>
          <w:bdr w:val="none" w:color="auto" w:sz="0" w:space="0"/>
        </w:rPr>
        <w:t>农机化生产管理服务工作的通知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sz w:val="32"/>
          <w:szCs w:val="32"/>
        </w:rPr>
      </w:pPr>
      <w:r>
        <w:rPr>
          <w:rFonts w:hint="eastAsia" w:ascii="仿宋" w:hAnsi="仿宋" w:eastAsia="仿宋" w:cs="仿宋"/>
          <w:b/>
          <w:i w:val="0"/>
          <w:caps w:val="0"/>
          <w:color w:val="BB0408"/>
          <w:spacing w:val="0"/>
          <w:sz w:val="32"/>
          <w:szCs w:val="32"/>
          <w:bdr w:val="none" w:color="auto" w:sz="0" w:space="0"/>
        </w:rPr>
        <w:t>陕农办发〔2019〕242号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各设区市农业农村局，杨凌示范区现代农业和乡村发展局，韩城市农业农村局，厅机关有关处（室、局）、厅属有关单位：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秋”是农业生产的又一关键时节，抓好“三秋”农机化生产对于促进全年粮食生产目标实现具有极其重要的意义。为全力打赢“三秋”农机化生产攻坚战，确保完成玉米机收1100万亩、小麦机播1370万亩计划任务（详见附件1），现就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一、迅即行动起来，做好前期准备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各地要迅即行动起来，精心安排部署，着力做好前期准备工作。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一是机具检修。积极协调农机维修厂（点）、农机生产（销售）企业开展集中检修和保养服务，组织农机技术人员进村入户，指导帮助机手做好机具检修、调试和保养，确保农机具以良好状态投入作业。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二是技术培训。要围绕当地“三秋”农机化主推技术和技术推广项目实施，采取举办培训班、召开演示会和印发资料等多种形式，组织开展农机手和新购机农民的技术培训，提高农机手驾驶操作技能水平。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三是物料储备。要积极协调农机生产、销售、维修和石油供应企业，提早准备，做好农机具及零配件和油料储备供应，满足生产需要。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四是供需衔接。要组织协调农机服务主体和农业经营主体签订作业合同，落实地块和作业面积，搞好供需衔接，提高机具利用率。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五是制定预案。要充分考虑“三秋”期间阴雨较多的天气状况，提前制定应急预案，保障“三秋”农机作业有序运行。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二、突出工作重点，提升作业水平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要坚持问题导向，强化措施落实，主攻深松整地、玉米机收、小麦机播和秸秆机械化利用等，努力提高作业水平和作业质量。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一是推进深松整地。要抓住秋播整地有利时机，强化宣传、创新方法、多措并举，积极推进县乡政府主体责任落实，全面完成计划任务，提高土壤蓄水保墒能力，增进粮食增产潜力。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b w:val="0"/>
          <w:i w:val="0"/>
          <w:caps w:val="0"/>
          <w:color w:val="000000"/>
          <w:spacing w:val="0"/>
          <w:kern w:val="0"/>
          <w:sz w:val="32"/>
          <w:szCs w:val="32"/>
          <w:bdr w:val="none" w:color="auto" w:sz="0" w:space="0"/>
          <w:lang w:val="en-US" w:eastAsia="zh-CN" w:bidi="ar"/>
        </w:rPr>
      </w:pPr>
      <w:r>
        <w:rPr>
          <w:rFonts w:hint="eastAsia" w:ascii="仿宋" w:hAnsi="仿宋" w:eastAsia="仿宋" w:cs="仿宋"/>
          <w:b w:val="0"/>
          <w:i w:val="0"/>
          <w:caps w:val="0"/>
          <w:color w:val="000000"/>
          <w:spacing w:val="0"/>
          <w:kern w:val="0"/>
          <w:sz w:val="32"/>
          <w:szCs w:val="32"/>
          <w:bdr w:val="none" w:color="auto" w:sz="0" w:space="0"/>
          <w:lang w:val="en-US" w:eastAsia="zh-CN" w:bidi="ar"/>
        </w:rPr>
        <w:t>二是提高玉米机收水平。加大联合收割机补贴力度，确保机具数量；强化技术服务，提高作业效率，努力扩大玉米机收面积，提高玉米机收水平。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三是提高小麦机播质量。要抓好农机农艺融合，加强机手技术培训和作业质量监督检查力度，重点推广免耕播种技术，切实提高小麦机播质量，为明年夏粮增产奠定坚实基础。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四是搞好秸秆机械化利用。要突出秸秆青贮、粉碎还田等机械化利用技术，加大技术推广和监督检查力度，努力提高秸秆机械化综合利用水平。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三、优化服务措施，提高作业效率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各级农业农村部门要切实树立“管理就是服务”的理念，切实增强服务意识，组织开展全方位服务。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一是开展信息服务。要采取开通服务电话、开展手机短信服务、网上发布信息等多种形式，及时发布“三秋”农机化作业信息，搞好供需对接，引导机手有序作业服务。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二是做好技术服务。要组织农机技术骨干以及有关生产、销售和维修企业技术人员组成“三秋”农机技术服务队，深入田间地头，开展技术指导和技术咨询服务。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是做好物料供应服务。要组织协调农机维修、农机零配件供应等农机社会化服务组织延长营业时间，实行夜间值班制度，有条件的要送修、送件和送油到田间地头，为农机经营户提供优质服务，提高农机作业效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四是加强部门协调。积极协调配合公安、交通等部门，为“三秋”机械化跨区作业创造良好环境。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482"/>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四、强化监督检查，促进安全生产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秋”期间是农机作业高峰期，也是农机事故易发期。各级农机安全监理机构要坚持“安全第一，预防为主”的方针，既要加强对农机驾驶、操作人员和辅助作业人员的安全生产教育，提高驾驶操作技能水平和安全生产意识；又要切实做好法定职责范围内的农机安全检查，尤其要发挥好现有农机公安联合执法机构作用，认真排查事故隐患，最大限度地消除不安全因素，促进“三秋”农机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各级农机质量投诉监督机构要切实做好农机作业质量、维修质量和售后服务质量的投诉受理及调解处理工作，切实维护各方当事人的合法权益。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五、切实加强领导，确保任务完成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地要切实加强对“三秋”农机化生产工作的组织领导，形成一把手负总责，分管领导具体抓，农业农村部门牵头抓总，农机管理、监理、推广和培训等机构各司其职、联动协作的组织领导和工作机制，组织协调各类农机社会化服务组织创新服务方法、拓展服务内容、优化服务质量、提高服务水平，确保“三秋”农机化生产任务圆满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各地要落实农业农村部农业机械化管理司农业机械化生产信息报送制度，确定专人负责，及时准确报送生产信息。从9月中旬起，每周二中午12时前通过“全国农机化综合管理系统”上报作业进度，并向省农机化中心报送作业进度表（详见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“三秋”工作结束后，各地要认真搞好总结，于10月25日前将书面总结上报我厅农机化管理处和省农机化中心。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厅农机化处联系人：王全虎    电话（传真）：029-87212891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省农机化中心联系人：许小平  电话（传真）：029-62822225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附件：1.2019年“三秋”农机作业指导计划表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2.2019年“三秋”农业机械作业进度表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480"/>
        <w:jc w:val="righ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陕西省农业农村厅办公室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0"/>
        <w:jc w:val="right"/>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bdr w:val="none" w:color="auto" w:sz="0" w:space="0"/>
          <w:lang w:val="en-US" w:eastAsia="zh-CN" w:bidi="ar"/>
        </w:rPr>
        <w:t> 2019年8月23日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附件1</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2019年“三秋”农机作业指导计划表</w:t>
      </w:r>
    </w:p>
    <w:p>
      <w:pPr>
        <w:spacing w:line="600" w:lineRule="exact"/>
        <w:jc w:val="center"/>
        <w:rPr>
          <w:rFonts w:ascii="方正小标宋简体" w:hAnsi="方正小标宋简体" w:eastAsia="方正小标宋简体" w:cs="方正小标宋简体"/>
          <w:bCs/>
          <w:sz w:val="44"/>
          <w:szCs w:val="44"/>
        </w:rPr>
      </w:pPr>
    </w:p>
    <w:p>
      <w:pPr>
        <w:ind w:right="560"/>
        <w:jc w:val="center"/>
        <w:rPr>
          <w:rFonts w:ascii="仿宋_GB2312" w:hAnsi="宋体" w:eastAsia="仿宋_GB2312"/>
          <w:sz w:val="28"/>
          <w:szCs w:val="28"/>
        </w:rPr>
      </w:pPr>
      <w:r>
        <w:rPr>
          <w:rFonts w:hint="eastAsia" w:ascii="仿宋_GB2312" w:hAnsi="宋体" w:eastAsia="仿宋_GB2312"/>
          <w:sz w:val="28"/>
          <w:szCs w:val="28"/>
        </w:rPr>
        <w:t xml:space="preserve">                                          单位：万亩</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2636"/>
        <w:gridCol w:w="2452"/>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right"/>
              <w:rPr>
                <w:rFonts w:ascii="黑体" w:hAnsi="黑体" w:eastAsia="黑体" w:cs="黑体"/>
                <w:sz w:val="28"/>
                <w:szCs w:val="36"/>
              </w:rPr>
            </w:pPr>
            <w:r>
              <w:rPr>
                <w:rFonts w:hint="eastAsia" w:ascii="黑体" w:hAnsi="黑体" w:eastAsia="黑体" w:cs="黑体"/>
                <w:sz w:val="28"/>
                <w:szCs w:val="36"/>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11430</wp:posOffset>
                      </wp:positionV>
                      <wp:extent cx="1445895" cy="680720"/>
                      <wp:effectExtent l="1905" t="4445" r="19050" b="19685"/>
                      <wp:wrapNone/>
                      <wp:docPr id="2" name="直接箭头连接符 2"/>
                      <wp:cNvGraphicFramePr/>
                      <a:graphic xmlns:a="http://schemas.openxmlformats.org/drawingml/2006/main">
                        <a:graphicData uri="http://schemas.microsoft.com/office/word/2010/wordprocessingShape">
                          <wps:wsp>
                            <wps:cNvCnPr/>
                            <wps:spPr>
                              <a:xfrm>
                                <a:off x="0" y="0"/>
                                <a:ext cx="1445895" cy="6807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55pt;margin-top:0.9pt;height:53.6pt;width:113.85pt;z-index:251658240;mso-width-relative:page;mso-height-relative:page;" o:connectortype="straight" filled="f" stroked="t" coordsize="21600,21600" o:gfxdata="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1HIhnX&#10;AAAACQEAAA8AAAAAAAAAAQAgAAAAIgAAAGRycy9kb3ducmV2LnhtbFBLAQIUABQAAAAIAIdO4kB0&#10;s7+O6AEAAKMDAAAOAAAAAAAAAAEAIAAAACYBAABkcnMvZTJvRG9jLnhtbFBLBQYAAAAABgAGAFkB&#10;AACABQAAAAA=&#10;">
                      <v:fill on="f" focussize="0,0"/>
                      <v:stroke color="#000000" joinstyle="round"/>
                      <v:imagedata o:title=""/>
                      <o:lock v:ext="edit" aspectratio="f"/>
                    </v:shape>
                  </w:pict>
                </mc:Fallback>
              </mc:AlternateContent>
            </w:r>
            <w:r>
              <w:rPr>
                <w:rFonts w:hint="eastAsia" w:ascii="黑体" w:hAnsi="黑体" w:eastAsia="黑体" w:cs="黑体"/>
                <w:sz w:val="28"/>
                <w:szCs w:val="36"/>
              </w:rPr>
              <w:t xml:space="preserve">    作业项目</w:t>
            </w:r>
          </w:p>
          <w:p>
            <w:pPr>
              <w:tabs>
                <w:tab w:val="center" w:pos="4153"/>
                <w:tab w:val="right" w:pos="8306"/>
              </w:tabs>
              <w:snapToGrid w:val="0"/>
              <w:jc w:val="left"/>
              <w:rPr>
                <w:rFonts w:hint="eastAsia" w:ascii="黑体" w:hAnsi="黑体" w:eastAsia="黑体" w:cs="黑体"/>
                <w:sz w:val="28"/>
                <w:szCs w:val="36"/>
              </w:rPr>
            </w:pPr>
          </w:p>
          <w:p>
            <w:pPr>
              <w:tabs>
                <w:tab w:val="center" w:pos="4153"/>
                <w:tab w:val="right" w:pos="8306"/>
              </w:tabs>
              <w:snapToGrid w:val="0"/>
              <w:jc w:val="left"/>
              <w:rPr>
                <w:rFonts w:ascii="黑体" w:hAnsi="黑体" w:eastAsia="黑体" w:cs="黑体"/>
                <w:sz w:val="28"/>
                <w:szCs w:val="36"/>
              </w:rPr>
            </w:pPr>
            <w:r>
              <w:rPr>
                <w:rFonts w:hint="eastAsia" w:ascii="黑体" w:hAnsi="黑体" w:eastAsia="黑体" w:cs="黑体"/>
                <w:sz w:val="28"/>
                <w:szCs w:val="36"/>
              </w:rPr>
              <w:t>市（区）</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黑体" w:hAnsi="黑体" w:eastAsia="黑体" w:cs="黑体"/>
                <w:sz w:val="28"/>
                <w:szCs w:val="36"/>
              </w:rPr>
            </w:pPr>
            <w:r>
              <w:rPr>
                <w:rFonts w:hint="eastAsia" w:ascii="黑体" w:hAnsi="黑体" w:eastAsia="黑体" w:cs="黑体"/>
                <w:sz w:val="28"/>
                <w:szCs w:val="36"/>
              </w:rPr>
              <w:t>机播小麦</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黑体" w:hAnsi="黑体" w:eastAsia="黑体" w:cs="黑体"/>
                <w:sz w:val="28"/>
                <w:szCs w:val="36"/>
              </w:rPr>
            </w:pPr>
            <w:r>
              <w:rPr>
                <w:rFonts w:hint="eastAsia" w:ascii="黑体" w:hAnsi="黑体" w:eastAsia="黑体" w:cs="黑体"/>
                <w:sz w:val="28"/>
                <w:szCs w:val="36"/>
              </w:rPr>
              <w:t>机收玉米</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黑体" w:hAnsi="黑体" w:eastAsia="黑体" w:cs="黑体"/>
                <w:sz w:val="28"/>
                <w:szCs w:val="36"/>
              </w:rPr>
            </w:pPr>
            <w:r>
              <w:rPr>
                <w:rFonts w:hint="eastAsia" w:ascii="黑体" w:hAnsi="黑体" w:eastAsia="黑体" w:cs="黑体"/>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西安市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255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180</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铜川市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35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35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宝鸡市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261</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95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咸阳市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325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190</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渭南市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405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345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汉中市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20</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安康市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7</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商洛市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35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延安市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5</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85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榆林市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145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杨凌示范区</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2</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韩城市</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20</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15</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28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r>
              <w:rPr>
                <w:rFonts w:hint="eastAsia" w:ascii="仿宋_GB2312" w:hAnsi="楷体_GB2312" w:eastAsia="仿宋_GB2312" w:cs="楷体_GB2312"/>
                <w:sz w:val="28"/>
                <w:szCs w:val="36"/>
              </w:rPr>
              <w:t>合计</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1370</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仿宋" w:eastAsia="仿宋_GB2312" w:cs="仿宋"/>
                <w:sz w:val="28"/>
                <w:szCs w:val="36"/>
              </w:rPr>
            </w:pPr>
            <w:r>
              <w:rPr>
                <w:rFonts w:hint="eastAsia" w:ascii="仿宋_GB2312" w:hAnsi="仿宋" w:eastAsia="仿宋_GB2312" w:cs="仿宋"/>
                <w:sz w:val="28"/>
                <w:szCs w:val="36"/>
              </w:rPr>
              <w:t>1100</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仿宋_GB2312" w:hAnsi="楷体_GB2312" w:eastAsia="仿宋_GB2312" w:cs="楷体_GB2312"/>
                <w:sz w:val="28"/>
                <w:szCs w:val="36"/>
              </w:rPr>
            </w:pPr>
          </w:p>
        </w:tc>
      </w:tr>
    </w:tbl>
    <w:p>
      <w:pPr>
        <w:widowControl/>
        <w:jc w:val="left"/>
        <w:rPr>
          <w:rFonts w:ascii="仿宋_GB2312" w:eastAsia="仿宋_GB2312"/>
          <w:sz w:val="32"/>
          <w:szCs w:val="32"/>
        </w:rPr>
        <w:sectPr>
          <w:footerReference r:id="rId3" w:type="default"/>
          <w:footerReference r:id="rId4" w:type="even"/>
          <w:pgSz w:w="11906" w:h="16838"/>
          <w:pgMar w:top="1871" w:right="1531" w:bottom="1474" w:left="1531" w:header="851" w:footer="1134" w:gutter="0"/>
          <w:pgNumType w:start="1"/>
          <w:cols w:space="720" w:num="1"/>
          <w:docGrid w:linePitch="312" w:charSpace="0"/>
        </w:sectPr>
      </w:pPr>
    </w:p>
    <w:p>
      <w:pPr>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2019年“三秋”农业机械作业进度表</w:t>
      </w:r>
    </w:p>
    <w:p>
      <w:pPr>
        <w:spacing w:line="300" w:lineRule="exact"/>
        <w:jc w:val="center"/>
        <w:rPr>
          <w:rFonts w:hint="eastAsia" w:ascii="方正小标宋简体" w:hAnsi="方正小标宋简体" w:eastAsia="方正小标宋简体" w:cs="方正小标宋简体"/>
          <w:bCs/>
          <w:sz w:val="44"/>
          <w:szCs w:val="44"/>
        </w:rPr>
      </w:pPr>
    </w:p>
    <w:p>
      <w:pPr>
        <w:spacing w:line="400" w:lineRule="exact"/>
        <w:jc w:val="left"/>
        <w:rPr>
          <w:rFonts w:hint="eastAsia" w:ascii="仿宋_GB2312" w:hAnsi="仿宋" w:eastAsia="仿宋_GB2312" w:cs="仿宋"/>
          <w:sz w:val="28"/>
          <w:szCs w:val="28"/>
        </w:rPr>
      </w:pPr>
      <w:r>
        <w:rPr>
          <w:rFonts w:hint="eastAsia" w:ascii="仿宋_GB2312" w:hAnsi="仿宋" w:eastAsia="仿宋_GB2312" w:cs="仿宋"/>
          <w:sz w:val="28"/>
          <w:szCs w:val="28"/>
        </w:rPr>
        <w:t>填表单位：             审批人：</w:t>
      </w:r>
    </w:p>
    <w:p>
      <w:pPr>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填表人：      联系电话：     填报时间：  年  月  日中午12时前</w:t>
      </w:r>
    </w:p>
    <w:p>
      <w:pPr>
        <w:spacing w:line="100" w:lineRule="exact"/>
        <w:jc w:val="center"/>
        <w:rPr>
          <w:rFonts w:ascii="黑体" w:hAnsi="黑体" w:eastAsia="黑体" w:cs="黑体"/>
          <w:bCs/>
          <w:sz w:val="32"/>
          <w:szCs w:val="32"/>
        </w:rPr>
      </w:pPr>
    </w:p>
    <w:tbl>
      <w:tblPr>
        <w:tblStyle w:val="5"/>
        <w:tblW w:w="9060" w:type="dxa"/>
        <w:tblInd w:w="0" w:type="dxa"/>
        <w:tblLayout w:type="fixed"/>
        <w:tblCellMar>
          <w:top w:w="0" w:type="dxa"/>
          <w:left w:w="108" w:type="dxa"/>
          <w:bottom w:w="0" w:type="dxa"/>
          <w:right w:w="108" w:type="dxa"/>
        </w:tblCellMar>
      </w:tblPr>
      <w:tblGrid>
        <w:gridCol w:w="5371"/>
        <w:gridCol w:w="1636"/>
        <w:gridCol w:w="2053"/>
      </w:tblGrid>
      <w:tr>
        <w:tblPrEx>
          <w:tblLayout w:type="fixed"/>
          <w:tblCellMar>
            <w:top w:w="0" w:type="dxa"/>
            <w:left w:w="108" w:type="dxa"/>
            <w:bottom w:w="0" w:type="dxa"/>
            <w:right w:w="108" w:type="dxa"/>
          </w:tblCellMar>
        </w:tblPrEx>
        <w:trPr>
          <w:trHeight w:val="285" w:hRule="atLeast"/>
        </w:trPr>
        <w:tc>
          <w:tcPr>
            <w:tcW w:w="53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项目</w:t>
            </w:r>
          </w:p>
        </w:tc>
        <w:tc>
          <w:tcPr>
            <w:tcW w:w="163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单位</w:t>
            </w:r>
          </w:p>
        </w:tc>
        <w:tc>
          <w:tcPr>
            <w:tcW w:w="205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kern w:val="0"/>
                <w:sz w:val="24"/>
              </w:rPr>
            </w:pPr>
            <w:r>
              <w:rPr>
                <w:rFonts w:hint="eastAsia" w:ascii="黑体" w:hAnsi="黑体" w:eastAsia="黑体" w:cs="黑体"/>
                <w:kern w:val="0"/>
                <w:sz w:val="24"/>
              </w:rPr>
              <w:t>数量</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★1.玉米收获面积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其中：机收玉米面积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★2.中稻及一季稻收获面积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其中：机收水稻面积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★3.晚稻收获面积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其中：机收水稻面积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★4.冬小麦播种面积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其中：机播小麦面积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★5.冬油菜播种面积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其中：机播（栽）油菜面积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★6.机械耕整地面积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其中：深松面积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7.机收马铃薯面积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8.机收大豆面积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9.机收甘蔗面积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10.机收棉花面积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11.机收花生面积</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万亩</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12.牧草机械化收获数量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万吨</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其中：机械打捆数量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万吨</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★13.投入农机具数量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其中：玉米联合收割机数量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水稻联合收割机数量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播种机械数量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28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拖拉机数量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w:t>
            </w:r>
          </w:p>
        </w:tc>
        <w:tc>
          <w:tcPr>
            <w:tcW w:w="2053" w:type="dxa"/>
            <w:tcBorders>
              <w:top w:val="nil"/>
              <w:left w:val="nil"/>
              <w:bottom w:val="single" w:color="auto" w:sz="4" w:space="0"/>
              <w:right w:val="single" w:color="auto" w:sz="4" w:space="0"/>
            </w:tcBorders>
            <w:noWrap w:val="0"/>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375"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14.培训机手、修理工数量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万人</w:t>
            </w:r>
          </w:p>
        </w:tc>
        <w:tc>
          <w:tcPr>
            <w:tcW w:w="2053" w:type="dxa"/>
            <w:tcBorders>
              <w:top w:val="nil"/>
              <w:left w:val="nil"/>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420" w:hRule="atLeast"/>
        </w:trPr>
        <w:tc>
          <w:tcPr>
            <w:tcW w:w="5371" w:type="dxa"/>
            <w:tcBorders>
              <w:top w:val="nil"/>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15.检修各类农业机械数量</w:t>
            </w:r>
          </w:p>
        </w:tc>
        <w:tc>
          <w:tcPr>
            <w:tcW w:w="1636"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万台（套）</w:t>
            </w:r>
          </w:p>
        </w:tc>
        <w:tc>
          <w:tcPr>
            <w:tcW w:w="2053" w:type="dxa"/>
            <w:tcBorders>
              <w:top w:val="nil"/>
              <w:left w:val="nil"/>
              <w:bottom w:val="single" w:color="auto" w:sz="4" w:space="0"/>
              <w:right w:val="single" w:color="auto" w:sz="4" w:space="0"/>
            </w:tcBorders>
            <w:noWrap w:val="0"/>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w:t>
            </w:r>
          </w:p>
        </w:tc>
      </w:tr>
      <w:tr>
        <w:tblPrEx>
          <w:tblLayout w:type="fixed"/>
          <w:tblCellMar>
            <w:top w:w="0" w:type="dxa"/>
            <w:left w:w="108" w:type="dxa"/>
            <w:bottom w:w="0" w:type="dxa"/>
            <w:right w:w="108" w:type="dxa"/>
          </w:tblCellMar>
        </w:tblPrEx>
        <w:trPr>
          <w:trHeight w:val="1095" w:hRule="atLeast"/>
        </w:trPr>
        <w:tc>
          <w:tcPr>
            <w:tcW w:w="9060" w:type="dxa"/>
            <w:gridSpan w:val="3"/>
            <w:tcBorders>
              <w:top w:val="single" w:color="auto" w:sz="4" w:space="0"/>
              <w:left w:val="single" w:color="auto" w:sz="4" w:space="0"/>
              <w:bottom w:val="single" w:color="auto" w:sz="4" w:space="0"/>
              <w:right w:val="single" w:color="000000" w:sz="4" w:space="0"/>
            </w:tcBorders>
            <w:noWrap w:val="0"/>
            <w:vAlign w:val="top"/>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16.其他农机化生产动态情况：</w:t>
            </w:r>
          </w:p>
          <w:p>
            <w:pPr>
              <w:widowControl/>
              <w:jc w:val="left"/>
              <w:rPr>
                <w:rFonts w:ascii="楷体_GB2312" w:hAnsi="宋体" w:eastAsia="楷体_GB2312" w:cs="宋体"/>
                <w:kern w:val="0"/>
                <w:sz w:val="24"/>
              </w:rPr>
            </w:pPr>
          </w:p>
          <w:p>
            <w:pPr>
              <w:widowControl/>
              <w:jc w:val="left"/>
              <w:rPr>
                <w:rFonts w:ascii="楷体_GB2312" w:hAnsi="宋体" w:eastAsia="楷体_GB2312" w:cs="宋体"/>
                <w:kern w:val="0"/>
                <w:sz w:val="24"/>
              </w:rPr>
            </w:pPr>
          </w:p>
        </w:tc>
      </w:tr>
      <w:tr>
        <w:tblPrEx>
          <w:tblLayout w:type="fixed"/>
          <w:tblCellMar>
            <w:top w:w="0" w:type="dxa"/>
            <w:left w:w="108" w:type="dxa"/>
            <w:bottom w:w="0" w:type="dxa"/>
            <w:right w:w="108" w:type="dxa"/>
          </w:tblCellMar>
        </w:tblPrEx>
        <w:trPr>
          <w:trHeight w:val="555" w:hRule="atLeast"/>
        </w:trPr>
        <w:tc>
          <w:tcPr>
            <w:tcW w:w="9060" w:type="dxa"/>
            <w:gridSpan w:val="3"/>
            <w:tcBorders>
              <w:top w:val="single" w:color="auto" w:sz="4" w:space="0"/>
              <w:left w:val="nil"/>
              <w:bottom w:val="nil"/>
              <w:right w:val="nil"/>
            </w:tcBorders>
            <w:noWrap w:val="0"/>
            <w:vAlign w:val="center"/>
          </w:tcPr>
          <w:p>
            <w:pPr>
              <w:widowControl/>
              <w:spacing w:line="200" w:lineRule="exact"/>
              <w:ind w:left="735" w:hanging="735" w:hangingChars="350"/>
              <w:jc w:val="left"/>
              <w:rPr>
                <w:rFonts w:hint="eastAsia" w:ascii="仿宋_GB2312" w:hAnsi="黑体" w:eastAsia="仿宋_GB2312" w:cs="仿宋_GB2312"/>
                <w:kern w:val="0"/>
                <w:szCs w:val="21"/>
              </w:rPr>
            </w:pPr>
          </w:p>
          <w:p>
            <w:pPr>
              <w:widowControl/>
              <w:spacing w:line="320" w:lineRule="exact"/>
              <w:ind w:left="735" w:hanging="735" w:hangingChars="350"/>
              <w:jc w:val="left"/>
              <w:rPr>
                <w:rFonts w:hint="eastAsia" w:ascii="仿宋_GB2312" w:hAnsi="黑体" w:eastAsia="仿宋_GB2312" w:cs="仿宋"/>
                <w:kern w:val="0"/>
                <w:szCs w:val="21"/>
              </w:rPr>
            </w:pPr>
            <w:r>
              <w:rPr>
                <w:rFonts w:hint="eastAsia" w:ascii="仿宋_GB2312" w:hAnsi="黑体" w:eastAsia="仿宋_GB2312" w:cs="仿宋_GB2312"/>
                <w:kern w:val="0"/>
                <w:szCs w:val="21"/>
              </w:rPr>
              <w:t>备注：1.</w:t>
            </w:r>
            <w:r>
              <w:rPr>
                <w:rFonts w:hint="eastAsia" w:ascii="仿宋_GB2312" w:hAnsi="黑体" w:eastAsia="仿宋_GB2312" w:cs="仿宋"/>
                <w:kern w:val="0"/>
                <w:szCs w:val="21"/>
              </w:rPr>
              <w:t xml:space="preserve">从9月中旬起，每周二中午12时前通过“全国农机化综合管理系统”上报作业进度，并  </w:t>
            </w:r>
          </w:p>
          <w:p>
            <w:pPr>
              <w:widowControl/>
              <w:spacing w:line="320" w:lineRule="exact"/>
              <w:ind w:left="735" w:hanging="735" w:hangingChars="350"/>
              <w:jc w:val="left"/>
              <w:rPr>
                <w:rFonts w:hint="eastAsia" w:ascii="仿宋_GB2312" w:hAnsi="黑体" w:eastAsia="仿宋_GB2312" w:cs="仿宋"/>
                <w:kern w:val="0"/>
                <w:szCs w:val="21"/>
              </w:rPr>
            </w:pPr>
            <w:r>
              <w:rPr>
                <w:rFonts w:hint="eastAsia" w:ascii="仿宋_GB2312" w:hAnsi="黑体" w:eastAsia="仿宋_GB2312" w:cs="仿宋"/>
                <w:kern w:val="0"/>
                <w:szCs w:val="21"/>
              </w:rPr>
              <w:t xml:space="preserve">        向省农机化中心报送作业进度表。</w:t>
            </w:r>
          </w:p>
          <w:p>
            <w:pPr>
              <w:widowControl/>
              <w:spacing w:line="320" w:lineRule="exact"/>
              <w:ind w:left="735" w:hanging="735" w:hangingChars="350"/>
              <w:jc w:val="left"/>
              <w:rPr>
                <w:rFonts w:hint="eastAsia" w:ascii="仿宋_GB2312" w:hAnsi="黑体" w:eastAsia="仿宋_GB2312" w:cs="宋体"/>
                <w:kern w:val="0"/>
                <w:szCs w:val="21"/>
              </w:rPr>
            </w:pPr>
            <w:r>
              <w:rPr>
                <w:rFonts w:hint="eastAsia" w:ascii="仿宋_GB2312" w:hAnsi="黑体" w:eastAsia="仿宋_GB2312" w:cs="仿宋"/>
                <w:kern w:val="0"/>
                <w:szCs w:val="21"/>
              </w:rPr>
              <w:t xml:space="preserve">      2.带★的项目为必填，其余的项目为选填。</w:t>
            </w:r>
          </w:p>
        </w:tc>
      </w:tr>
    </w:tbl>
    <w:p>
      <w:pPr>
        <w:rPr>
          <w:rFonts w:hint="eastAsia" w:ascii="仿宋" w:hAnsi="仿宋" w:eastAsia="仿宋" w:cs="仿宋"/>
          <w:sz w:val="32"/>
          <w:szCs w:val="32"/>
        </w:rPr>
      </w:pPr>
    </w:p>
    <w:sectPr>
      <w:headerReference r:id="rId5" w:type="default"/>
      <w:footerReference r:id="rId6" w:type="default"/>
      <w:footerReference r:id="rId7" w:type="even"/>
      <w:pgSz w:w="11906" w:h="16838"/>
      <w:pgMar w:top="1311" w:right="1531" w:bottom="987" w:left="1531" w:header="851" w:footer="1134" w:gutter="0"/>
      <w:cols w:space="720" w:num="1"/>
      <w:docGrid w:linePitch="600" w:charSpace="-2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5</w:t>
    </w:r>
    <w:r>
      <w:rPr>
        <w:rFonts w:hint="eastAsia" w:ascii="仿宋_GB2312" w:eastAsia="仿宋_GB2312"/>
        <w:sz w:val="28"/>
        <w:szCs w:val="28"/>
      </w:rPr>
      <w:fldChar w:fldCharType="end"/>
    </w:r>
    <w:r>
      <w:rPr>
        <w:rFonts w:hint="eastAsia" w:ascii="仿宋_GB2312"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jc w:val="center"/>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rPr>
        <w:sz w:val="28"/>
      </w:rPr>
    </w:pPr>
    <w:r>
      <w:rPr>
        <w:sz w:val="28"/>
      </w:rPr>
      <w:t>—</w:t>
    </w:r>
    <w:r>
      <w:rPr>
        <w:sz w:val="28"/>
      </w:rPr>
      <w:fldChar w:fldCharType="begin"/>
    </w:r>
    <w:r>
      <w:rPr>
        <w:rStyle w:val="7"/>
        <w:sz w:val="28"/>
      </w:rPr>
      <w:instrText xml:space="preserve"> PAGE </w:instrText>
    </w:r>
    <w:r>
      <w:rPr>
        <w:sz w:val="28"/>
      </w:rPr>
      <w:fldChar w:fldCharType="separate"/>
    </w:r>
    <w:r>
      <w:rPr>
        <w:rStyle w:val="7"/>
        <w:sz w:val="28"/>
      </w:rPr>
      <w:t>2</w:t>
    </w:r>
    <w:r>
      <w:rPr>
        <w:sz w:val="28"/>
      </w:rPr>
      <w:fldChar w:fldCharType="end"/>
    </w:r>
    <w:r>
      <w:rPr>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6954"/>
    <w:rsid w:val="020D7459"/>
    <w:rsid w:val="09B36954"/>
    <w:rsid w:val="2E70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2019-09-06T08:00:00Z</dcterms:created>
  <dc:creator>**~queen~**</dc:creator>
  <cp:lastModifiedBy>**~queen~**</cp:lastModifiedBy>
  <dcterms:modified xsi:type="dcterms:W3CDTF">2019-09-06T08:16:41Z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